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696F57" w14:textId="77777777" w:rsidR="008B3952" w:rsidRDefault="00D5599B">
      <w:r>
        <w:t>Part A</w:t>
      </w:r>
    </w:p>
    <w:p w14:paraId="6AE147D3" w14:textId="77777777" w:rsidR="00D5599B" w:rsidRDefault="00D5599B"/>
    <w:p w14:paraId="5F8D6715" w14:textId="6A6EDC3E" w:rsidR="00D5599B" w:rsidRDefault="00D5599B">
      <w:pPr>
        <w:rPr>
          <w:rFonts w:ascii="Trebuchet MS" w:hAnsi="Trebuchet MS"/>
          <w:color w:val="000000"/>
          <w:sz w:val="18"/>
          <w:szCs w:val="18"/>
        </w:rPr>
      </w:pPr>
      <w:r>
        <w:rPr>
          <w:rFonts w:ascii="Trebuchet MS" w:hAnsi="Trebuchet MS"/>
          <w:color w:val="000000"/>
          <w:sz w:val="18"/>
          <w:szCs w:val="18"/>
        </w:rPr>
        <w:t>Explain how the decision of the Federal Reserve Bank (Fed) to raise interest rates would be expected to affect each component of the weighted average cost of capital (WACC). What mistakes are commonly made when estimating the WACC, and how do these mistakes arise?</w:t>
      </w:r>
    </w:p>
    <w:p w14:paraId="3A04298A" w14:textId="4CBA6601" w:rsidR="00D5599B" w:rsidRDefault="00D5599B"/>
    <w:p w14:paraId="25E80A28" w14:textId="51DA798C" w:rsidR="00D5599B" w:rsidRDefault="00D5599B"/>
    <w:p w14:paraId="4575C19B" w14:textId="519137AA" w:rsidR="00D5599B" w:rsidRDefault="00D5599B"/>
    <w:p w14:paraId="4B11653A" w14:textId="75652E32" w:rsidR="00D5599B" w:rsidRDefault="00D5599B"/>
    <w:p w14:paraId="45AA22FC" w14:textId="2B0CE9E7" w:rsidR="00D5599B" w:rsidRDefault="00D5599B"/>
    <w:p w14:paraId="2975F9EB" w14:textId="6B752656" w:rsidR="00D5599B" w:rsidRDefault="00D5599B">
      <w:r>
        <w:t>PART B</w:t>
      </w:r>
    </w:p>
    <w:p w14:paraId="084C908E" w14:textId="7C524CDB" w:rsidR="00D5599B" w:rsidRDefault="00D5599B"/>
    <w:p w14:paraId="7C5B7361" w14:textId="5B6639F6" w:rsidR="00D5599B" w:rsidRDefault="00D5599B"/>
    <w:p w14:paraId="7BCA7798" w14:textId="215AEB45" w:rsidR="00D5599B" w:rsidRDefault="00D5599B"/>
    <w:p w14:paraId="38008305" w14:textId="4BDC64AA" w:rsidR="00D5599B" w:rsidRDefault="00D5599B">
      <w:r>
        <w:rPr>
          <w:rFonts w:ascii="Trebuchet MS" w:hAnsi="Trebuchet MS"/>
          <w:color w:val="000000"/>
          <w:sz w:val="18"/>
          <w:szCs w:val="18"/>
        </w:rPr>
        <w:t xml:space="preserve">In what types of situations would capital budgeting decisions be made solely </w:t>
      </w:r>
      <w:proofErr w:type="gramStart"/>
      <w:r>
        <w:rPr>
          <w:rFonts w:ascii="Trebuchet MS" w:hAnsi="Trebuchet MS"/>
          <w:color w:val="000000"/>
          <w:sz w:val="18"/>
          <w:szCs w:val="18"/>
        </w:rPr>
        <w:t>on the basis of</w:t>
      </w:r>
      <w:proofErr w:type="gramEnd"/>
      <w:r>
        <w:rPr>
          <w:rFonts w:ascii="Trebuchet MS" w:hAnsi="Trebuchet MS"/>
          <w:color w:val="000000"/>
          <w:sz w:val="18"/>
          <w:szCs w:val="18"/>
        </w:rPr>
        <w:t xml:space="preserve"> project's net present value (NPV)? Identify potential reasons that might drive higher NPV for a given project. Substantiate your response by providing an example to explain your thought process.</w:t>
      </w:r>
      <w:bookmarkStart w:id="0" w:name="_GoBack"/>
      <w:bookmarkEnd w:id="0"/>
    </w:p>
    <w:sectPr w:rsidR="00D559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99B"/>
    <w:rsid w:val="008B3952"/>
    <w:rsid w:val="00D55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8573E"/>
  <w15:chartTrackingRefBased/>
  <w15:docId w15:val="{6154EF45-B70B-4BF5-8899-AA871FFCE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85</Words>
  <Characters>491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Destiny Ruiz</dc:creator>
  <cp:keywords/>
  <dc:description/>
  <cp:lastModifiedBy>Destiny Ruiz</cp:lastModifiedBy>
  <cp:revision>1</cp:revision>
  <dcterms:created xsi:type="dcterms:W3CDTF">2018-12-11T03:20:00Z</dcterms:created>
  <dcterms:modified xsi:type="dcterms:W3CDTF">2018-12-11T03:21:00Z</dcterms:modified>
</cp:coreProperties>
</file>